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B6B2" w14:textId="51847857" w:rsidR="00E91ABD" w:rsidRDefault="00F253E9">
      <w:pPr>
        <w:spacing w:after="338" w:line="250" w:lineRule="auto"/>
        <w:ind w:left="-5" w:hanging="10"/>
      </w:pPr>
      <w:r>
        <w:rPr>
          <w:rFonts w:ascii="Arial" w:eastAsia="Arial" w:hAnsi="Arial" w:cs="Arial"/>
          <w:b/>
          <w:sz w:val="24"/>
        </w:rPr>
        <w:t>March 2024</w:t>
      </w:r>
    </w:p>
    <w:p w14:paraId="511AC0D3" w14:textId="77777777" w:rsidR="00E91ABD" w:rsidRPr="00787A67" w:rsidRDefault="00595676">
      <w:pPr>
        <w:pStyle w:val="Heading1"/>
        <w:rPr>
          <w:sz w:val="22"/>
        </w:rPr>
      </w:pPr>
      <w:r w:rsidRPr="00787A67">
        <w:rPr>
          <w:sz w:val="22"/>
        </w:rPr>
        <w:t xml:space="preserve">Property Owners Can Protest Property Appraisal Values </w:t>
      </w:r>
    </w:p>
    <w:p w14:paraId="0A6449A7" w14:textId="5BB38990" w:rsidR="00E91ABD" w:rsidRPr="00787A67" w:rsidRDefault="00595676">
      <w:pPr>
        <w:spacing w:after="267" w:line="249" w:lineRule="auto"/>
        <w:ind w:left="10" w:hanging="10"/>
      </w:pPr>
      <w:r w:rsidRPr="00787A67">
        <w:rPr>
          <w:rFonts w:ascii="Arial" w:eastAsia="Arial" w:hAnsi="Arial" w:cs="Arial"/>
        </w:rPr>
        <w:t xml:space="preserve">Property owners who disagree with the </w:t>
      </w:r>
      <w:r w:rsidR="00F253E9" w:rsidRPr="00787A67">
        <w:rPr>
          <w:rFonts w:ascii="Arial" w:eastAsia="Arial" w:hAnsi="Arial" w:cs="Arial"/>
        </w:rPr>
        <w:t>Kinney County</w:t>
      </w:r>
      <w:r w:rsidRPr="00787A67">
        <w:rPr>
          <w:rFonts w:ascii="Arial" w:eastAsia="Arial" w:hAnsi="Arial" w:cs="Arial"/>
        </w:rPr>
        <w:t xml:space="preserve"> Appraisal District’s appraisal of their property for loc</w:t>
      </w:r>
      <w:r w:rsidRPr="00787A67">
        <w:rPr>
          <w:rFonts w:ascii="Arial" w:eastAsia="Arial" w:hAnsi="Arial" w:cs="Arial"/>
        </w:rPr>
        <w:t xml:space="preserve">al taxes or for any other action that adversely affects them may protest to the local appraisal review board (ARB). </w:t>
      </w:r>
    </w:p>
    <w:p w14:paraId="446A4DD4" w14:textId="6A965CC7" w:rsidR="00E91ABD" w:rsidRPr="00787A67" w:rsidRDefault="00595676">
      <w:pPr>
        <w:spacing w:after="267" w:line="249" w:lineRule="auto"/>
        <w:ind w:left="10" w:hanging="10"/>
      </w:pPr>
      <w:r w:rsidRPr="00787A67">
        <w:rPr>
          <w:rFonts w:ascii="Arial" w:eastAsia="Arial" w:hAnsi="Arial" w:cs="Arial"/>
        </w:rPr>
        <w:t>A property owner must file a written notice of protest before May 15 or within 30 days after the appraisal district delivers the property o</w:t>
      </w:r>
      <w:r w:rsidRPr="00787A67">
        <w:rPr>
          <w:rFonts w:ascii="Arial" w:eastAsia="Arial" w:hAnsi="Arial" w:cs="Arial"/>
        </w:rPr>
        <w:t xml:space="preserve">wner’s notice of appraised value, whichever is later. The ARB will begin hearing taxpayer protests on </w:t>
      </w:r>
      <w:r w:rsidR="00787A67" w:rsidRPr="00787A67">
        <w:rPr>
          <w:rFonts w:ascii="Arial" w:eastAsia="Arial" w:hAnsi="Arial" w:cs="Arial"/>
        </w:rPr>
        <w:t>May 16, 2024.</w:t>
      </w:r>
    </w:p>
    <w:p w14:paraId="3D38A6C4" w14:textId="77777777" w:rsidR="00E91ABD" w:rsidRPr="00787A67" w:rsidRDefault="00595676">
      <w:pPr>
        <w:spacing w:after="267" w:line="249" w:lineRule="auto"/>
        <w:ind w:left="10" w:hanging="10"/>
      </w:pPr>
      <w:r w:rsidRPr="00787A67">
        <w:rPr>
          <w:rFonts w:ascii="Arial" w:eastAsia="Arial" w:hAnsi="Arial" w:cs="Arial"/>
        </w:rPr>
        <w:t>After the ARB completes its hearings and approves final property tax appraisals, taxing units will use these appraisals to set property tax rates</w:t>
      </w:r>
      <w:r w:rsidRPr="00787A67">
        <w:rPr>
          <w:rFonts w:ascii="Arial" w:eastAsia="Arial" w:hAnsi="Arial" w:cs="Arial"/>
        </w:rPr>
        <w:t xml:space="preserve">. </w:t>
      </w:r>
    </w:p>
    <w:p w14:paraId="4162847F" w14:textId="77777777" w:rsidR="00E91ABD" w:rsidRPr="00787A67" w:rsidRDefault="00595676">
      <w:pPr>
        <w:spacing w:after="306" w:line="248" w:lineRule="auto"/>
        <w:ind w:left="-15"/>
      </w:pPr>
      <w:r w:rsidRPr="00787A67">
        <w:rPr>
          <w:rFonts w:ascii="Arial" w:eastAsia="Arial" w:hAnsi="Arial" w:cs="Arial"/>
        </w:rPr>
        <w:t>The ARB is a group of citizens who live in the appraisal district. In counties with populations less than 75,000, the local administrative district judge appoints ARB members. Otherwise, the appraisal district's board of directors appoints them. Propert</w:t>
      </w:r>
      <w:r w:rsidRPr="00787A67">
        <w:rPr>
          <w:rFonts w:ascii="Arial" w:eastAsia="Arial" w:hAnsi="Arial" w:cs="Arial"/>
        </w:rPr>
        <w:t xml:space="preserve">y owners may protest any of the following issues to the ARB: </w:t>
      </w:r>
    </w:p>
    <w:p w14:paraId="7B81C710" w14:textId="77777777" w:rsidR="00E91ABD" w:rsidRPr="00787A67" w:rsidRDefault="00595676">
      <w:pPr>
        <w:numPr>
          <w:ilvl w:val="0"/>
          <w:numId w:val="1"/>
        </w:numPr>
        <w:spacing w:after="10" w:line="249" w:lineRule="auto"/>
        <w:ind w:hanging="360"/>
      </w:pPr>
      <w:r w:rsidRPr="00787A67">
        <w:rPr>
          <w:rFonts w:ascii="Arial" w:eastAsia="Arial" w:hAnsi="Arial" w:cs="Arial"/>
        </w:rPr>
        <w:t>the property's appraised or market value;</w:t>
      </w:r>
    </w:p>
    <w:p w14:paraId="3CBEA33B" w14:textId="77777777" w:rsidR="00E91ABD" w:rsidRPr="00787A67" w:rsidRDefault="00595676">
      <w:pPr>
        <w:numPr>
          <w:ilvl w:val="0"/>
          <w:numId w:val="1"/>
        </w:numPr>
        <w:spacing w:after="10" w:line="249" w:lineRule="auto"/>
        <w:ind w:hanging="360"/>
      </w:pPr>
      <w:r w:rsidRPr="00787A67">
        <w:rPr>
          <w:rFonts w:ascii="Arial" w:eastAsia="Arial" w:hAnsi="Arial" w:cs="Arial"/>
        </w:rPr>
        <w:t>unequal property appraisal;</w:t>
      </w:r>
    </w:p>
    <w:p w14:paraId="7888CFFE" w14:textId="77777777" w:rsidR="00E91ABD" w:rsidRPr="00787A67" w:rsidRDefault="00595676">
      <w:pPr>
        <w:numPr>
          <w:ilvl w:val="0"/>
          <w:numId w:val="1"/>
        </w:numPr>
        <w:spacing w:after="10" w:line="249" w:lineRule="auto"/>
        <w:ind w:hanging="360"/>
      </w:pPr>
      <w:r w:rsidRPr="00787A67">
        <w:rPr>
          <w:rFonts w:ascii="Arial" w:eastAsia="Arial" w:hAnsi="Arial" w:cs="Arial"/>
        </w:rPr>
        <w:t>the property's inclusion on the appraisal records;</w:t>
      </w:r>
    </w:p>
    <w:p w14:paraId="33A04101" w14:textId="77777777" w:rsidR="00E91ABD" w:rsidRPr="00787A67" w:rsidRDefault="00595676">
      <w:pPr>
        <w:numPr>
          <w:ilvl w:val="0"/>
          <w:numId w:val="1"/>
        </w:numPr>
        <w:spacing w:after="10" w:line="249" w:lineRule="auto"/>
        <w:ind w:hanging="360"/>
      </w:pPr>
      <w:r w:rsidRPr="00787A67">
        <w:rPr>
          <w:rFonts w:ascii="Arial" w:eastAsia="Arial" w:hAnsi="Arial" w:cs="Arial"/>
        </w:rPr>
        <w:t>denial of a partial exemption, such as a homestead exemption;</w:t>
      </w:r>
    </w:p>
    <w:p w14:paraId="25EA9569" w14:textId="77777777" w:rsidR="00E91ABD" w:rsidRPr="00787A67" w:rsidRDefault="00595676">
      <w:pPr>
        <w:numPr>
          <w:ilvl w:val="0"/>
          <w:numId w:val="1"/>
        </w:numPr>
        <w:spacing w:after="25" w:line="248" w:lineRule="auto"/>
        <w:ind w:hanging="360"/>
      </w:pPr>
      <w:r w:rsidRPr="00787A67">
        <w:rPr>
          <w:rFonts w:ascii="Arial" w:eastAsia="Arial" w:hAnsi="Arial" w:cs="Arial"/>
        </w:rPr>
        <w:t>determinati</w:t>
      </w:r>
      <w:r w:rsidRPr="00787A67">
        <w:rPr>
          <w:rFonts w:ascii="Arial" w:eastAsia="Arial" w:hAnsi="Arial" w:cs="Arial"/>
        </w:rPr>
        <w:t>on that the property does not qualify for the circuit breaker limitation on appraised value for non-homestead real property;</w:t>
      </w:r>
    </w:p>
    <w:p w14:paraId="3372B303" w14:textId="77777777" w:rsidR="00E91ABD" w:rsidRPr="00787A67" w:rsidRDefault="00595676">
      <w:pPr>
        <w:numPr>
          <w:ilvl w:val="0"/>
          <w:numId w:val="1"/>
        </w:numPr>
        <w:spacing w:after="10" w:line="249" w:lineRule="auto"/>
        <w:ind w:hanging="360"/>
      </w:pPr>
      <w:r w:rsidRPr="00787A67">
        <w:rPr>
          <w:rFonts w:ascii="Arial" w:eastAsia="Arial" w:hAnsi="Arial" w:cs="Arial"/>
        </w:rPr>
        <w:t>denial of special appraisal, such as agricultural or timber productivity appraisal;</w:t>
      </w:r>
    </w:p>
    <w:p w14:paraId="524A5A12" w14:textId="77777777" w:rsidR="00E91ABD" w:rsidRPr="00787A67" w:rsidRDefault="00595676">
      <w:pPr>
        <w:numPr>
          <w:ilvl w:val="0"/>
          <w:numId w:val="1"/>
        </w:numPr>
        <w:spacing w:after="10" w:line="249" w:lineRule="auto"/>
        <w:ind w:hanging="360"/>
      </w:pPr>
      <w:r w:rsidRPr="00787A67">
        <w:rPr>
          <w:rFonts w:ascii="Arial" w:eastAsia="Arial" w:hAnsi="Arial" w:cs="Arial"/>
        </w:rPr>
        <w:t>determination that agricultural or timberland h</w:t>
      </w:r>
      <w:r w:rsidRPr="00787A67">
        <w:rPr>
          <w:rFonts w:ascii="Arial" w:eastAsia="Arial" w:hAnsi="Arial" w:cs="Arial"/>
        </w:rPr>
        <w:t>as had a change of use and is subject to a rollback tax;</w:t>
      </w:r>
    </w:p>
    <w:p w14:paraId="096E5888" w14:textId="77777777" w:rsidR="00E91ABD" w:rsidRPr="00787A67" w:rsidRDefault="00595676">
      <w:pPr>
        <w:numPr>
          <w:ilvl w:val="0"/>
          <w:numId w:val="1"/>
        </w:numPr>
        <w:spacing w:after="10" w:line="249" w:lineRule="auto"/>
        <w:ind w:hanging="360"/>
      </w:pPr>
      <w:r w:rsidRPr="00787A67">
        <w:rPr>
          <w:rFonts w:ascii="Arial" w:eastAsia="Arial" w:hAnsi="Arial" w:cs="Arial"/>
        </w:rPr>
        <w:t>identification of the taxing unit or taxing units in which the property is located;</w:t>
      </w:r>
    </w:p>
    <w:p w14:paraId="694713C6" w14:textId="77777777" w:rsidR="00E91ABD" w:rsidRPr="00787A67" w:rsidRDefault="00595676">
      <w:pPr>
        <w:numPr>
          <w:ilvl w:val="0"/>
          <w:numId w:val="1"/>
        </w:numPr>
        <w:spacing w:after="10" w:line="249" w:lineRule="auto"/>
        <w:ind w:hanging="360"/>
      </w:pPr>
      <w:r w:rsidRPr="00787A67">
        <w:rPr>
          <w:rFonts w:ascii="Arial" w:eastAsia="Arial" w:hAnsi="Arial" w:cs="Arial"/>
        </w:rPr>
        <w:t>determination that the taxpayer is the property owner; or</w:t>
      </w:r>
    </w:p>
    <w:p w14:paraId="66CE7FE0" w14:textId="45342ED2" w:rsidR="00E91ABD" w:rsidRPr="00595676" w:rsidRDefault="00595676">
      <w:pPr>
        <w:numPr>
          <w:ilvl w:val="0"/>
          <w:numId w:val="1"/>
        </w:numPr>
        <w:spacing w:after="10" w:line="249" w:lineRule="auto"/>
        <w:ind w:hanging="360"/>
      </w:pPr>
      <w:r w:rsidRPr="00787A67">
        <w:rPr>
          <w:rFonts w:ascii="Arial" w:eastAsia="Arial" w:hAnsi="Arial" w:cs="Arial"/>
        </w:rPr>
        <w:t xml:space="preserve">any other action of the appraisal district office or ARB </w:t>
      </w:r>
      <w:r w:rsidRPr="00787A67">
        <w:rPr>
          <w:rFonts w:ascii="Arial" w:eastAsia="Arial" w:hAnsi="Arial" w:cs="Arial"/>
        </w:rPr>
        <w:t>that adversely affects the owner.</w:t>
      </w:r>
    </w:p>
    <w:p w14:paraId="7DF50820" w14:textId="77777777" w:rsidR="00595676" w:rsidRPr="00787A67" w:rsidRDefault="00595676" w:rsidP="00595676">
      <w:pPr>
        <w:spacing w:after="10" w:line="249" w:lineRule="auto"/>
      </w:pPr>
    </w:p>
    <w:p w14:paraId="1B0C9243" w14:textId="77777777" w:rsidR="00E91ABD" w:rsidRPr="00787A67" w:rsidRDefault="00595676">
      <w:pPr>
        <w:spacing w:after="279" w:line="240" w:lineRule="auto"/>
        <w:ind w:right="235"/>
      </w:pPr>
      <w:r w:rsidRPr="00787A67">
        <w:rPr>
          <w:rFonts w:ascii="Arial" w:eastAsia="Arial" w:hAnsi="Arial" w:cs="Arial"/>
        </w:rPr>
        <w:t>The ARB schedules a hearing and sends the protesting property owner written notice of the date, time and place of the hearing. The law contains specific timelines and procedures for both the property owner and the ARB throughout the appraisal protest proce</w:t>
      </w:r>
      <w:r w:rsidRPr="00787A67">
        <w:rPr>
          <w:rFonts w:ascii="Arial" w:eastAsia="Arial" w:hAnsi="Arial" w:cs="Arial"/>
        </w:rPr>
        <w:t xml:space="preserve">ss, as detailed in the Comptroller’s publication, </w:t>
      </w:r>
      <w:r w:rsidRPr="00787A67">
        <w:rPr>
          <w:rFonts w:ascii="Arial" w:eastAsia="Arial" w:hAnsi="Arial" w:cs="Arial"/>
          <w:i/>
        </w:rPr>
        <w:t>Taxpayer Assistance Pamphlet</w:t>
      </w:r>
      <w:r w:rsidRPr="00787A67">
        <w:rPr>
          <w:rFonts w:ascii="Arial" w:eastAsia="Arial" w:hAnsi="Arial" w:cs="Arial"/>
        </w:rPr>
        <w:t xml:space="preserve">. </w:t>
      </w:r>
    </w:p>
    <w:p w14:paraId="4C53DEAB" w14:textId="22806429" w:rsidR="00E91ABD" w:rsidRDefault="00595676">
      <w:pPr>
        <w:spacing w:after="10" w:line="249" w:lineRule="auto"/>
        <w:ind w:left="10" w:hanging="10"/>
        <w:rPr>
          <w:rFonts w:ascii="Arial" w:eastAsia="Arial" w:hAnsi="Arial" w:cs="Arial"/>
        </w:rPr>
      </w:pPr>
      <w:r w:rsidRPr="00787A67">
        <w:rPr>
          <w:rFonts w:ascii="Arial" w:eastAsia="Arial" w:hAnsi="Arial" w:cs="Arial"/>
        </w:rPr>
        <w:t xml:space="preserve">Copies are available from </w:t>
      </w:r>
      <w:r w:rsidR="00787A67" w:rsidRPr="00787A67">
        <w:rPr>
          <w:rFonts w:ascii="Arial" w:eastAsia="Arial" w:hAnsi="Arial" w:cs="Arial"/>
        </w:rPr>
        <w:t>Kinney County</w:t>
      </w:r>
      <w:r w:rsidRPr="00787A67">
        <w:rPr>
          <w:rFonts w:ascii="Arial" w:eastAsia="Arial" w:hAnsi="Arial" w:cs="Arial"/>
        </w:rPr>
        <w:t xml:space="preserve"> Appraisal District at </w:t>
      </w:r>
      <w:r w:rsidR="00787A67" w:rsidRPr="00787A67">
        <w:rPr>
          <w:rFonts w:ascii="Arial" w:eastAsia="Arial" w:hAnsi="Arial" w:cs="Arial"/>
        </w:rPr>
        <w:t>412 S. Ann St. Brackettville TX 78832.  Phone: 803-563-2323</w:t>
      </w:r>
      <w:r w:rsidR="00787A67">
        <w:rPr>
          <w:rFonts w:ascii="Arial" w:eastAsia="Arial" w:hAnsi="Arial" w:cs="Arial"/>
        </w:rPr>
        <w:t xml:space="preserve">  </w:t>
      </w:r>
    </w:p>
    <w:p w14:paraId="68151CCA" w14:textId="77777777" w:rsidR="00787A67" w:rsidRDefault="00787A67">
      <w:pPr>
        <w:spacing w:after="73" w:line="249" w:lineRule="auto"/>
        <w:ind w:left="10" w:hanging="10"/>
        <w:rPr>
          <w:rFonts w:ascii="Arial" w:eastAsia="Arial" w:hAnsi="Arial" w:cs="Arial"/>
          <w:sz w:val="24"/>
        </w:rPr>
      </w:pPr>
    </w:p>
    <w:p w14:paraId="48922727" w14:textId="498E02FA" w:rsidR="00E91ABD" w:rsidRDefault="00595676">
      <w:pPr>
        <w:spacing w:after="73" w:line="249" w:lineRule="auto"/>
        <w:ind w:left="10" w:hanging="10"/>
      </w:pPr>
      <w:r>
        <w:rPr>
          <w:rFonts w:ascii="Arial" w:eastAsia="Arial" w:hAnsi="Arial" w:cs="Arial"/>
          <w:sz w:val="24"/>
        </w:rPr>
        <w:t>The publication is also available on the Comptroller’s Property Tax As</w:t>
      </w:r>
      <w:r>
        <w:rPr>
          <w:rFonts w:ascii="Arial" w:eastAsia="Arial" w:hAnsi="Arial" w:cs="Arial"/>
          <w:sz w:val="24"/>
        </w:rPr>
        <w:t xml:space="preserve">sistance Division’s website at </w:t>
      </w:r>
      <w:r>
        <w:rPr>
          <w:rFonts w:ascii="Arial" w:eastAsia="Arial" w:hAnsi="Arial" w:cs="Arial"/>
          <w:sz w:val="24"/>
        </w:rPr>
        <w:t>c</w:t>
      </w:r>
      <w:r>
        <w:rPr>
          <w:rFonts w:ascii="Arial" w:eastAsia="Arial" w:hAnsi="Arial" w:cs="Arial"/>
          <w:sz w:val="24"/>
        </w:rPr>
        <w:t>o</w:t>
      </w:r>
      <w:r>
        <w:rPr>
          <w:rFonts w:ascii="Arial" w:eastAsia="Arial" w:hAnsi="Arial" w:cs="Arial"/>
          <w:sz w:val="24"/>
        </w:rPr>
        <w:t xml:space="preserve">mptroller.texas.gov/taxes/property-tax/. </w:t>
      </w:r>
    </w:p>
    <w:sectPr w:rsidR="00E91ABD">
      <w:pgSz w:w="12240" w:h="15840"/>
      <w:pgMar w:top="1486" w:right="1481" w:bottom="190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D020D"/>
    <w:multiLevelType w:val="hybridMultilevel"/>
    <w:tmpl w:val="DD743BA6"/>
    <w:lvl w:ilvl="0" w:tplc="BB649F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28E2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D8A6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7257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1E02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229D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663E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8052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A2C0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BD"/>
    <w:rsid w:val="00595676"/>
    <w:rsid w:val="00787A67"/>
    <w:rsid w:val="00E91ABD"/>
    <w:rsid w:val="00F2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1EE0"/>
  <w15:docId w15:val="{000ED0E5-1298-4B55-A779-5C6B6688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66"/>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Property Owner Protest Hearings</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Owner Protest Hearings</dc:title>
  <dc:subject/>
  <dc:creator>Shannon Murphy</dc:creator>
  <cp:keywords/>
  <cp:lastModifiedBy>Gene Slate</cp:lastModifiedBy>
  <cp:revision>2</cp:revision>
  <dcterms:created xsi:type="dcterms:W3CDTF">2024-02-26T19:20:00Z</dcterms:created>
  <dcterms:modified xsi:type="dcterms:W3CDTF">2024-02-26T19:20:00Z</dcterms:modified>
</cp:coreProperties>
</file>